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IT</w:t>
      </w:r>
    </w:p>
    <w:p w14:paraId="2704A83C" w14:textId="77777777" w:rsidR="009E7D0C" w:rsidRDefault="009E7D0C" w:rsidP="00A33695">
      <w:pPr>
        <w:jc w:val="center"/>
        <w:rPr>
          <w:rFonts w:ascii="Times New Roman" w:hAnsi="Times New Roman"/>
          <w:sz w:val="24"/>
        </w:rPr>
      </w:pPr>
    </w:p>
    <w:p w14:paraId="24333E7A" w14:textId="5EEA2C00" w:rsidR="008D696E" w:rsidRDefault="008D696E" w:rsidP="00A33695">
      <w:pPr>
        <w:jc w:val="center"/>
        <w:rPr>
          <w:rFonts w:ascii="Times New Roman" w:hAnsi="Times New Roman"/>
          <w:sz w:val="24"/>
        </w:rPr>
      </w:pPr>
      <w:r>
        <w:rPr>
          <w:rFonts w:ascii="Times New Roman" w:hAnsi="Times New Roman"/>
          <w:sz w:val="24"/>
        </w:rPr>
        <w:t>ALLEGATO XLIV</w:t>
      </w:r>
    </w:p>
    <w:p w14:paraId="327777EC" w14:textId="412B4B5A" w:rsidR="002648B0" w:rsidRPr="002A677E" w:rsidRDefault="00D03B1B" w:rsidP="00C87CEE">
      <w:pPr>
        <w:jc w:val="center"/>
        <w:rPr>
          <w:rFonts w:ascii="Times New Roman" w:hAnsi="Times New Roman"/>
          <w:b/>
          <w:sz w:val="24"/>
        </w:rPr>
      </w:pPr>
      <w:r>
        <w:rPr>
          <w:rFonts w:ascii="Times New Roman" w:hAnsi="Times New Roman"/>
          <w:b/>
          <w:sz w:val="24"/>
        </w:rPr>
        <w:t>Istruzioni per l'informativa sulle esposizioni alle cripto-attività</w:t>
      </w:r>
    </w:p>
    <w:p w14:paraId="2C40683C" w14:textId="77777777" w:rsidR="00436204" w:rsidRPr="002A677E" w:rsidRDefault="00436204" w:rsidP="00C87CEE">
      <w:pPr>
        <w:jc w:val="center"/>
        <w:rPr>
          <w:rFonts w:ascii="Times New Roman" w:hAnsi="Times New Roman"/>
          <w:b/>
          <w:sz w:val="24"/>
          <w:lang w:eastAsia="de-DE"/>
        </w:rPr>
      </w:pPr>
    </w:p>
    <w:p w14:paraId="4099A354" w14:textId="5F7E540B" w:rsidR="00464F34" w:rsidRPr="00D03B1B" w:rsidRDefault="00D03B1B" w:rsidP="002F1D8D">
      <w:pPr>
        <w:pStyle w:val="Instructionsberschrift2"/>
        <w:numPr>
          <w:ilvl w:val="0"/>
          <w:numId w:val="0"/>
        </w:numPr>
        <w:rPr>
          <w:rFonts w:ascii="Times New Roman" w:hAnsi="Times New Roman" w:cs="Times New Roman"/>
          <w:sz w:val="24"/>
        </w:rPr>
      </w:pPr>
      <w:bookmarkStart w:id="2" w:name="_Toc163551527"/>
      <w:bookmarkEnd w:id="0"/>
      <w:bookmarkEnd w:id="1"/>
      <w:r>
        <w:rPr>
          <w:rFonts w:ascii="Times New Roman" w:hAnsi="Times New Roman"/>
          <w:b/>
          <w:sz w:val="24"/>
          <w:u w:val="none"/>
        </w:rPr>
        <w:t>Modello EU CAE1: modello per le cripto-attività</w:t>
      </w:r>
      <w:bookmarkEnd w:id="2"/>
      <w:r>
        <w:rPr>
          <w:rFonts w:ascii="Times New Roman" w:hAnsi="Times New Roman"/>
          <w:sz w:val="24"/>
          <w:u w:val="none"/>
        </w:rPr>
        <w:t xml:space="preserve"> (formato fisso)</w:t>
      </w:r>
    </w:p>
    <w:p w14:paraId="041009DD" w14:textId="3EFC441D" w:rsidR="00464F34" w:rsidRPr="0076606B" w:rsidRDefault="00D03B1B" w:rsidP="00591ECE">
      <w:pPr>
        <w:pStyle w:val="InstructionsText2"/>
      </w:pPr>
      <w:r>
        <w:t>Gli enti applicano le istruzioni riportate di seguito per compilare il modello EU CAE1 di cui all'allegato XLIII delle soluzioni informatiche dell'ABE per pubblicare le informazioni riguardanti gli importi delle esposizioni ponderati per il rischio e i requisiti di fondi propri per i tipi di esposizioni alle cripto-attività di cui all'articolo 501 quinquies, paragrafo 2, del regolamento (UE) n. 575/2013</w:t>
      </w:r>
      <w:r>
        <w:rPr>
          <w:rStyle w:val="FootnoteReference"/>
          <w:rFonts w:ascii="Times New Roman" w:eastAsiaTheme="minorEastAsia" w:hAnsi="Times New Roman"/>
          <w:bCs w:val="0"/>
          <w:color w:val="000000"/>
          <w:sz w:val="24"/>
          <w:szCs w:val="24"/>
          <w:vertAlign w:val="superscript"/>
        </w:rPr>
        <w:footnoteReference w:id="2"/>
      </w:r>
      <w: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464F34" w:rsidRPr="002A677E" w14:paraId="05FA098D" w14:textId="77777777" w:rsidTr="00D9757A">
        <w:trPr>
          <w:trHeight w:val="397"/>
        </w:trPr>
        <w:tc>
          <w:tcPr>
            <w:tcW w:w="9918" w:type="dxa"/>
            <w:gridSpan w:val="2"/>
            <w:shd w:val="clear" w:color="auto" w:fill="CCCCCC"/>
          </w:tcPr>
          <w:p w14:paraId="76571629" w14:textId="6F36549B" w:rsidR="00464F34" w:rsidRPr="002A677E" w:rsidRDefault="0076606B" w:rsidP="00591ECE">
            <w:pPr>
              <w:pStyle w:val="InstructionsText"/>
            </w:pPr>
            <w:r>
              <w:t>Riferimenti giuridici e istruzioni</w:t>
            </w:r>
          </w:p>
        </w:tc>
      </w:tr>
      <w:tr w:rsidR="0076606B" w:rsidRPr="0076606B" w14:paraId="355F95A3" w14:textId="77777777" w:rsidTr="00D9757A">
        <w:tc>
          <w:tcPr>
            <w:tcW w:w="1555" w:type="dxa"/>
            <w:shd w:val="clear" w:color="auto" w:fill="CCCCCC"/>
          </w:tcPr>
          <w:p w14:paraId="5227B491" w14:textId="46A90960" w:rsidR="0076606B" w:rsidRPr="0076606B" w:rsidRDefault="0076606B" w:rsidP="00591ECE">
            <w:pPr>
              <w:pStyle w:val="InstructionsText"/>
            </w:pPr>
            <w:r>
              <w:t>Numero di c</w:t>
            </w:r>
            <w:r w:rsidR="00591ECE">
              <w:t>o</w:t>
            </w:r>
            <w:r>
              <w:t xml:space="preserve">lonna </w:t>
            </w:r>
          </w:p>
        </w:tc>
        <w:tc>
          <w:tcPr>
            <w:tcW w:w="8363" w:type="dxa"/>
            <w:shd w:val="clear" w:color="auto" w:fill="CCCCCC"/>
          </w:tcPr>
          <w:p w14:paraId="5846F631" w14:textId="28D78C36" w:rsidR="0076606B" w:rsidRPr="0076606B" w:rsidRDefault="0076606B" w:rsidP="00591ECE">
            <w:pPr>
              <w:pStyle w:val="InstructionsText"/>
            </w:pPr>
            <w:r>
              <w:t>Spiegazione</w:t>
            </w:r>
          </w:p>
        </w:tc>
      </w:tr>
      <w:tr w:rsidR="002953A0" w:rsidRPr="0076606B" w14:paraId="11675C2A" w14:textId="77777777" w:rsidTr="001A633E">
        <w:tc>
          <w:tcPr>
            <w:tcW w:w="1555" w:type="dxa"/>
          </w:tcPr>
          <w:p w14:paraId="4BE7CB71" w14:textId="77777777" w:rsidR="002953A0" w:rsidRPr="0076606B" w:rsidRDefault="002953A0" w:rsidP="00591ECE">
            <w:pPr>
              <w:pStyle w:val="InstructionsText"/>
            </w:pPr>
            <w:r>
              <w:t>a</w:t>
            </w:r>
          </w:p>
        </w:tc>
        <w:tc>
          <w:tcPr>
            <w:tcW w:w="8363" w:type="dxa"/>
          </w:tcPr>
          <w:p w14:paraId="16748558" w14:textId="2EDF205C" w:rsidR="002953A0" w:rsidRPr="0076606B" w:rsidRDefault="002953A0" w:rsidP="00591ECE">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Valore dell'esposizione</w:t>
            </w:r>
          </w:p>
          <w:p w14:paraId="3168829C" w14:textId="3F57F48A" w:rsidR="002953A0" w:rsidRPr="0076606B" w:rsidRDefault="002953A0" w:rsidP="00591ECE">
            <w:pPr>
              <w:pStyle w:val="InstructionsText"/>
            </w:pPr>
            <w:r>
              <w:t>Valore delle esposizioni alle cripto-attività per i diversi tipi di cripto-attività di cui all'</w:t>
            </w:r>
            <w:r>
              <w:rPr>
                <w:rStyle w:val="InstructionsTabelleberschrift"/>
                <w:rFonts w:ascii="Times New Roman" w:hAnsi="Times New Roman"/>
                <w:b w:val="0"/>
                <w:sz w:val="24"/>
                <w:u w:val="none"/>
              </w:rPr>
              <w:t xml:space="preserve">articolo 501 quinquies, paragrafo 2, del </w:t>
            </w:r>
            <w:r>
              <w:t>regolamento (UE) n. 575/2013.</w:t>
            </w:r>
          </w:p>
        </w:tc>
      </w:tr>
      <w:tr w:rsidR="00E46AC0" w:rsidRPr="0076606B" w14:paraId="25D246EF" w14:textId="77777777" w:rsidTr="00D9757A">
        <w:tc>
          <w:tcPr>
            <w:tcW w:w="1555" w:type="dxa"/>
          </w:tcPr>
          <w:p w14:paraId="15D7F3E0" w14:textId="5E6C5043" w:rsidR="0076606B" w:rsidRPr="0076606B" w:rsidRDefault="002953A0" w:rsidP="00591ECE">
            <w:pPr>
              <w:pStyle w:val="InstructionsText"/>
            </w:pPr>
            <w:r>
              <w:t>b</w:t>
            </w:r>
          </w:p>
        </w:tc>
        <w:tc>
          <w:tcPr>
            <w:tcW w:w="8363" w:type="dxa"/>
          </w:tcPr>
          <w:p w14:paraId="18B3A388" w14:textId="519B3BC9" w:rsidR="00E46AC0" w:rsidRPr="0076606B" w:rsidRDefault="0076606B" w:rsidP="00591ECE">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Importi delle esposizioni ponderati per il rischio (RWEA)</w:t>
            </w:r>
          </w:p>
          <w:p w14:paraId="2AB54302" w14:textId="6CD1C0C9" w:rsidR="002953A0" w:rsidRDefault="002953A0" w:rsidP="00591ECE">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Articolo 501 quinquies, paragrafo 2, del </w:t>
            </w:r>
            <w:r>
              <w:t>regolamento (UE) n. 575/2013.</w:t>
            </w:r>
            <w:r>
              <w:rPr>
                <w:rStyle w:val="InstructionsTabelleberschrift"/>
                <w:rFonts w:ascii="Times New Roman" w:hAnsi="Times New Roman"/>
                <w:b w:val="0"/>
                <w:sz w:val="24"/>
                <w:u w:val="none"/>
              </w:rPr>
              <w:t xml:space="preserve"> </w:t>
            </w:r>
          </w:p>
          <w:p w14:paraId="019E027E" w14:textId="5E3D58E5" w:rsidR="000811A0" w:rsidRPr="0076606B" w:rsidRDefault="002953A0" w:rsidP="00BA3A57">
            <w:pPr>
              <w:pStyle w:val="InstructionsText"/>
            </w:pPr>
            <w:r>
              <w:rPr>
                <w:rStyle w:val="InstructionsTabelleberschrift"/>
                <w:rFonts w:ascii="Times New Roman" w:hAnsi="Times New Roman"/>
                <w:b w:val="0"/>
                <w:sz w:val="24"/>
                <w:u w:val="none"/>
              </w:rPr>
              <w:t xml:space="preserve">Importi delle esposizioni ponderati per il rischio per i diversi tipi di esposizioni alle cripto-attività calcolati conformemente all'articolo 501 quinquies, paragrafo 2, </w:t>
            </w:r>
            <w:r>
              <w:t>lettera f), del regolamento (UE)</w:t>
            </w:r>
            <w:r>
              <w:rPr>
                <w:rStyle w:val="InstructionsTabelleberschrift"/>
                <w:rFonts w:ascii="Times New Roman" w:hAnsi="Times New Roman"/>
                <w:b w:val="0"/>
                <w:sz w:val="24"/>
                <w:u w:val="none"/>
              </w:rPr>
              <w:t>n.</w:t>
            </w:r>
            <w:r>
              <w:t> 575/2013.</w:t>
            </w:r>
          </w:p>
        </w:tc>
      </w:tr>
      <w:tr w:rsidR="0076606B" w:rsidRPr="0076606B" w14:paraId="31E88113" w14:textId="77777777" w:rsidTr="00D9757A">
        <w:tc>
          <w:tcPr>
            <w:tcW w:w="1555" w:type="dxa"/>
          </w:tcPr>
          <w:p w14:paraId="276588C9" w14:textId="2559B7BA" w:rsidR="0076606B" w:rsidRDefault="002953A0" w:rsidP="00591ECE">
            <w:pPr>
              <w:pStyle w:val="InstructionsText"/>
            </w:pPr>
            <w:r>
              <w:t>c</w:t>
            </w:r>
          </w:p>
        </w:tc>
        <w:tc>
          <w:tcPr>
            <w:tcW w:w="8363" w:type="dxa"/>
          </w:tcPr>
          <w:p w14:paraId="1DB08D4E" w14:textId="77777777" w:rsidR="0076606B" w:rsidRDefault="0076606B" w:rsidP="00591ECE">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Requisiti di fondi propri </w:t>
            </w:r>
          </w:p>
          <w:p w14:paraId="7787F909" w14:textId="33023A71" w:rsidR="003B6B5F" w:rsidRDefault="003B6B5F" w:rsidP="00591ECE">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Articolo 501 quinquies, paragrafo 2, del </w:t>
            </w:r>
            <w:r>
              <w:t>regolamento (UE) n. 575/2013.</w:t>
            </w:r>
            <w:r>
              <w:rPr>
                <w:rStyle w:val="InstructionsTabelleberschrift"/>
                <w:rFonts w:ascii="Times New Roman" w:hAnsi="Times New Roman"/>
                <w:b w:val="0"/>
                <w:sz w:val="24"/>
                <w:u w:val="none"/>
              </w:rPr>
              <w:t xml:space="preserve"> </w:t>
            </w:r>
          </w:p>
          <w:p w14:paraId="7D3D40B6" w14:textId="26A2D5FE" w:rsidR="0076606B" w:rsidRPr="0076606B" w:rsidRDefault="0076606B" w:rsidP="00591ECE">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Requisiti di fondi propri corrispondenti agli importi delle esposizioni ponderati per il rischio per i diversi tipi di cripto-attività.</w:t>
            </w:r>
          </w:p>
        </w:tc>
      </w:tr>
    </w:tbl>
    <w:p w14:paraId="310FB6E2" w14:textId="77777777" w:rsidR="00464F34" w:rsidRPr="0076606B" w:rsidRDefault="00464F34" w:rsidP="00591ECE">
      <w:pPr>
        <w:pStyle w:val="InstructionsText"/>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363"/>
      </w:tblGrid>
      <w:tr w:rsidR="00D9757A" w:rsidRPr="002A677E" w14:paraId="485D8F4A" w14:textId="77777777" w:rsidTr="00D9757A">
        <w:trPr>
          <w:trHeight w:val="397"/>
        </w:trPr>
        <w:tc>
          <w:tcPr>
            <w:tcW w:w="9918" w:type="dxa"/>
            <w:gridSpan w:val="2"/>
            <w:shd w:val="clear" w:color="auto" w:fill="CCCCCC"/>
          </w:tcPr>
          <w:p w14:paraId="57E6B293" w14:textId="77777777" w:rsidR="00D9757A" w:rsidRPr="002A677E" w:rsidRDefault="00D9757A" w:rsidP="00591ECE">
            <w:pPr>
              <w:pStyle w:val="InstructionsText"/>
            </w:pPr>
            <w:r>
              <w:t>Riferimenti giuridici e istruzioni</w:t>
            </w:r>
          </w:p>
        </w:tc>
      </w:tr>
      <w:tr w:rsidR="00464F34" w:rsidRPr="0076606B" w14:paraId="511AFFC7" w14:textId="77777777" w:rsidTr="00D9757A">
        <w:tc>
          <w:tcPr>
            <w:tcW w:w="1555" w:type="dxa"/>
            <w:shd w:val="clear" w:color="auto" w:fill="CCCCCC"/>
          </w:tcPr>
          <w:p w14:paraId="42E7C874" w14:textId="4DAD3DCD" w:rsidR="00464F34" w:rsidRPr="0076606B" w:rsidRDefault="007106FB" w:rsidP="00591ECE">
            <w:pPr>
              <w:pStyle w:val="InstructionsText"/>
            </w:pPr>
            <w:r>
              <w:t>Numero di riga</w:t>
            </w:r>
          </w:p>
        </w:tc>
        <w:tc>
          <w:tcPr>
            <w:tcW w:w="8363" w:type="dxa"/>
            <w:shd w:val="clear" w:color="auto" w:fill="CCCCCC"/>
          </w:tcPr>
          <w:p w14:paraId="5101E780" w14:textId="6FFAFB3B" w:rsidR="00464F34" w:rsidRPr="0076606B" w:rsidRDefault="0076606B" w:rsidP="00591ECE">
            <w:pPr>
              <w:pStyle w:val="InstructionsText"/>
            </w:pPr>
            <w:r>
              <w:t>Spiegazione</w:t>
            </w:r>
          </w:p>
        </w:tc>
      </w:tr>
      <w:tr w:rsidR="00464F34" w:rsidRPr="0076606B" w14:paraId="4200F5F5" w14:textId="77777777" w:rsidTr="00D9757A">
        <w:tc>
          <w:tcPr>
            <w:tcW w:w="1555" w:type="dxa"/>
          </w:tcPr>
          <w:p w14:paraId="13D34CD0" w14:textId="17D414E2" w:rsidR="00464F34" w:rsidRPr="0076606B" w:rsidRDefault="0076606B" w:rsidP="00591ECE">
            <w:pPr>
              <w:pStyle w:val="InstructionsText"/>
            </w:pPr>
            <w:r>
              <w:t>1</w:t>
            </w:r>
          </w:p>
        </w:tc>
        <w:tc>
          <w:tcPr>
            <w:tcW w:w="8363" w:type="dxa"/>
          </w:tcPr>
          <w:p w14:paraId="6642D329" w14:textId="77777777" w:rsidR="002F1D8D" w:rsidRDefault="00A15ACF" w:rsidP="00591ECE">
            <w:pPr>
              <w:pStyle w:val="InstructionsText"/>
              <w:rPr>
                <w:rStyle w:val="cf01"/>
                <w:rFonts w:ascii="Times New Roman" w:hAnsi="Times New Roman" w:cs="Times New Roman"/>
                <w:b/>
                <w:bCs w:val="0"/>
                <w:sz w:val="24"/>
                <w:szCs w:val="24"/>
              </w:rPr>
            </w:pPr>
            <w:r>
              <w:rPr>
                <w:rStyle w:val="cf01"/>
                <w:rFonts w:ascii="Times New Roman" w:hAnsi="Times New Roman"/>
                <w:b/>
                <w:sz w:val="24"/>
              </w:rPr>
              <w:t>Attività tradizionali tokenizzate</w:t>
            </w:r>
          </w:p>
          <w:p w14:paraId="2C368109" w14:textId="5EEDDCF7" w:rsidR="000811A0" w:rsidRPr="0076606B" w:rsidRDefault="000C1FFC" w:rsidP="00591ECE">
            <w:pPr>
              <w:pStyle w:val="InstructionsText"/>
            </w:pPr>
            <w:r>
              <w:rPr>
                <w:rStyle w:val="InstructionsTabelleberschrift"/>
                <w:rFonts w:ascii="Times New Roman" w:hAnsi="Times New Roman"/>
                <w:b w:val="0"/>
                <w:sz w:val="24"/>
                <w:u w:val="none"/>
              </w:rPr>
              <w:t xml:space="preserve">Articolo 501 quinquies, paragrafo 2, lettera a), del </w:t>
            </w:r>
            <w:r>
              <w:t>regolamento (UE) n. 575/2013.</w:t>
            </w:r>
          </w:p>
        </w:tc>
      </w:tr>
      <w:tr w:rsidR="00373762" w:rsidRPr="0076606B" w14:paraId="3CBB5149" w14:textId="77777777" w:rsidTr="00D9757A">
        <w:tc>
          <w:tcPr>
            <w:tcW w:w="1555" w:type="dxa"/>
          </w:tcPr>
          <w:p w14:paraId="6C15DAA6" w14:textId="315E07AC" w:rsidR="00373762" w:rsidRPr="0076606B" w:rsidRDefault="0076606B" w:rsidP="00BA3A57">
            <w:pPr>
              <w:pStyle w:val="InstructionsText"/>
              <w:keepNext/>
            </w:pPr>
            <w:r>
              <w:lastRenderedPageBreak/>
              <w:t>2</w:t>
            </w:r>
          </w:p>
        </w:tc>
        <w:tc>
          <w:tcPr>
            <w:tcW w:w="8363" w:type="dxa"/>
          </w:tcPr>
          <w:p w14:paraId="1BDD91BD" w14:textId="00A6ACF7" w:rsidR="000C1FFC" w:rsidRPr="0076606B" w:rsidRDefault="00A02EBC" w:rsidP="00BA3A57">
            <w:pPr>
              <w:pStyle w:val="InstructionsText"/>
              <w:keepNext/>
              <w:rPr>
                <w:rStyle w:val="InstructionsTabelleberschrift"/>
                <w:rFonts w:ascii="Times New Roman" w:hAnsi="Times New Roman"/>
                <w:sz w:val="24"/>
                <w:u w:val="none"/>
              </w:rPr>
            </w:pPr>
            <w:r>
              <w:rPr>
                <w:rStyle w:val="InstructionsTabelleberschrift"/>
                <w:rFonts w:ascii="Times New Roman" w:hAnsi="Times New Roman"/>
                <w:sz w:val="24"/>
                <w:u w:val="none"/>
              </w:rPr>
              <w:t>Token collegati ad attività</w:t>
            </w:r>
          </w:p>
          <w:p w14:paraId="1D7215CE" w14:textId="2358370C" w:rsidR="000811A0" w:rsidRPr="0076606B" w:rsidRDefault="000811A0" w:rsidP="00BA3A57">
            <w:pPr>
              <w:pStyle w:val="InstructionsText"/>
              <w:keepNext/>
              <w:rPr>
                <w:rStyle w:val="InstructionsTabelleberschrift"/>
                <w:rFonts w:ascii="Times New Roman" w:hAnsi="Times New Roman"/>
                <w:sz w:val="24"/>
                <w:u w:val="none"/>
              </w:rPr>
            </w:pPr>
            <w:r>
              <w:t>Articolo 501 quinquies, paragrafo 2, lettera b), del regolamento (UE) n. 575/2013.</w:t>
            </w:r>
          </w:p>
        </w:tc>
      </w:tr>
      <w:tr w:rsidR="00373762" w:rsidRPr="0076606B" w14:paraId="5E466513" w14:textId="77777777" w:rsidTr="00D9757A">
        <w:tc>
          <w:tcPr>
            <w:tcW w:w="1555" w:type="dxa"/>
          </w:tcPr>
          <w:p w14:paraId="39E8A0FB" w14:textId="215B912E" w:rsidR="00373762" w:rsidRPr="0076606B" w:rsidRDefault="00D9757A" w:rsidP="00591ECE">
            <w:pPr>
              <w:pStyle w:val="InstructionsText"/>
            </w:pPr>
            <w:r>
              <w:t>3</w:t>
            </w:r>
          </w:p>
        </w:tc>
        <w:tc>
          <w:tcPr>
            <w:tcW w:w="8363" w:type="dxa"/>
          </w:tcPr>
          <w:p w14:paraId="0CD31563" w14:textId="11ABCDFB" w:rsidR="000C1FFC" w:rsidRPr="0076606B" w:rsidRDefault="006C06AC" w:rsidP="00591ECE">
            <w:pPr>
              <w:pStyle w:val="InstructionsText"/>
            </w:pPr>
            <w:r>
              <w:rPr>
                <w:rStyle w:val="InstructionsTabelleberschrift"/>
                <w:rFonts w:ascii="Times New Roman" w:hAnsi="Times New Roman"/>
                <w:sz w:val="24"/>
                <w:u w:val="none"/>
              </w:rPr>
              <w:t>Esposizioni ad altre cripto-attività</w:t>
            </w:r>
          </w:p>
          <w:p w14:paraId="22594EAC" w14:textId="2A3C1F16" w:rsidR="00373762" w:rsidRPr="0076606B" w:rsidRDefault="000811A0" w:rsidP="00591EC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Articolo 501 quinquies, paragrafo 2, lettera c), del </w:t>
            </w:r>
            <w:r>
              <w:t>regolamento (UE) n. 575/2013.</w:t>
            </w:r>
          </w:p>
          <w:p w14:paraId="1BCB3895" w14:textId="0709C3F8" w:rsidR="000811A0" w:rsidRPr="00D9757A" w:rsidRDefault="4EBA09A7" w:rsidP="00591ECE">
            <w:pPr>
              <w:pStyle w:val="InstructionsText"/>
            </w:pPr>
            <w:r>
              <w:rPr>
                <w:rStyle w:val="InstructionsTabelleberschrift"/>
                <w:rFonts w:ascii="Times New Roman" w:hAnsi="Times New Roman"/>
                <w:b w:val="0"/>
                <w:sz w:val="24"/>
                <w:u w:val="none"/>
              </w:rPr>
              <w:t xml:space="preserve">Altre esposizioni verso cripto-attività diverse da quelle di cui all'articolo 501 quinquies, paragrafo 2, </w:t>
            </w:r>
            <w:r>
              <w:t>lettere a) e b), del regolamento (UE)</w:t>
            </w:r>
            <w:r>
              <w:rPr>
                <w:rStyle w:val="InstructionsTabelleberschrift"/>
                <w:rFonts w:ascii="Times New Roman" w:hAnsi="Times New Roman"/>
                <w:b w:val="0"/>
                <w:sz w:val="24"/>
                <w:u w:val="none"/>
              </w:rPr>
              <w:t>n.</w:t>
            </w:r>
            <w:r>
              <w:t> 575/2013.</w:t>
            </w:r>
          </w:p>
        </w:tc>
      </w:tr>
      <w:tr w:rsidR="00623C6D" w:rsidRPr="0076606B" w14:paraId="10277CD1" w14:textId="77777777" w:rsidTr="00D9757A">
        <w:tc>
          <w:tcPr>
            <w:tcW w:w="1555" w:type="dxa"/>
          </w:tcPr>
          <w:p w14:paraId="33D217D5" w14:textId="13A52B17" w:rsidR="00623C6D" w:rsidRPr="0076606B" w:rsidRDefault="00D9757A" w:rsidP="00591ECE">
            <w:pPr>
              <w:pStyle w:val="InstructionsText"/>
            </w:pPr>
            <w:r>
              <w:t>4</w:t>
            </w:r>
          </w:p>
        </w:tc>
        <w:tc>
          <w:tcPr>
            <w:tcW w:w="8363" w:type="dxa"/>
          </w:tcPr>
          <w:p w14:paraId="5385821A" w14:textId="259A3565" w:rsidR="00623C6D" w:rsidRPr="0076606B" w:rsidRDefault="00931726" w:rsidP="00591ECE">
            <w:pPr>
              <w:pStyle w:val="InstructionsText"/>
            </w:pPr>
            <w:r>
              <w:rPr>
                <w:rStyle w:val="InstructionsTabelleberschrift"/>
                <w:rFonts w:ascii="Times New Roman" w:hAnsi="Times New Roman"/>
                <w:sz w:val="24"/>
                <w:u w:val="none"/>
              </w:rPr>
              <w:t>Totale</w:t>
            </w:r>
          </w:p>
          <w:p w14:paraId="55F5AED4" w14:textId="5039CC11" w:rsidR="003B6B5F" w:rsidRDefault="0088549A" w:rsidP="00591ECE">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Valori totali calcolati come somma delle righe 1, 2, 3. </w:t>
            </w:r>
          </w:p>
          <w:p w14:paraId="2CF3B315" w14:textId="6D98023C" w:rsidR="00623C6D" w:rsidRDefault="003B6B5F" w:rsidP="00591ECE">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Gli importi complessivi dell'esposizione al rischio sono pari all'importo indicato nella riga EU24a, colonna a), del modello EU OV1.</w:t>
            </w:r>
          </w:p>
          <w:p w14:paraId="1DE909BE" w14:textId="28825665" w:rsidR="003B6B5F" w:rsidRPr="0076606B" w:rsidRDefault="003B6B5F" w:rsidP="00591ECE">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I requisiti di fondi propri totali sono pari all'importo indicato nella riga EU 24a, colonna c), del modello EU OV1.</w:t>
            </w:r>
          </w:p>
        </w:tc>
      </w:tr>
      <w:tr w:rsidR="001F0121" w:rsidRPr="0076606B" w14:paraId="1E203B4D" w14:textId="77777777" w:rsidTr="001F0121">
        <w:tc>
          <w:tcPr>
            <w:tcW w:w="1555" w:type="dxa"/>
            <w:shd w:val="clear" w:color="auto" w:fill="D9D9D9" w:themeFill="background1" w:themeFillShade="D9"/>
          </w:tcPr>
          <w:p w14:paraId="5024020C" w14:textId="77777777" w:rsidR="001F0121" w:rsidRDefault="001F0121" w:rsidP="00591ECE">
            <w:pPr>
              <w:pStyle w:val="InstructionsText"/>
            </w:pPr>
          </w:p>
        </w:tc>
        <w:tc>
          <w:tcPr>
            <w:tcW w:w="8363" w:type="dxa"/>
            <w:shd w:val="clear" w:color="auto" w:fill="D9D9D9" w:themeFill="background1" w:themeFillShade="D9"/>
          </w:tcPr>
          <w:p w14:paraId="106F6FC9" w14:textId="3BB95B54" w:rsidR="001F0121" w:rsidRPr="001F0121" w:rsidRDefault="001F0121" w:rsidP="00591ECE">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 xml:space="preserve">Voce per memoria </w:t>
            </w:r>
          </w:p>
        </w:tc>
      </w:tr>
      <w:tr w:rsidR="001F0121" w:rsidRPr="0076606B" w14:paraId="50DA30D3" w14:textId="77777777" w:rsidTr="00D9757A">
        <w:tc>
          <w:tcPr>
            <w:tcW w:w="1555" w:type="dxa"/>
          </w:tcPr>
          <w:p w14:paraId="41FBBB67" w14:textId="5DBC581B" w:rsidR="001F0121" w:rsidRDefault="001F0121" w:rsidP="00591ECE">
            <w:pPr>
              <w:pStyle w:val="InstructionsText"/>
            </w:pPr>
            <w:r>
              <w:t>5</w:t>
            </w:r>
          </w:p>
        </w:tc>
        <w:tc>
          <w:tcPr>
            <w:tcW w:w="8363" w:type="dxa"/>
          </w:tcPr>
          <w:p w14:paraId="47F1511E" w14:textId="768E44DB" w:rsidR="00AA385A" w:rsidRDefault="00685F67" w:rsidP="00591ECE">
            <w:pPr>
              <w:pStyle w:val="InstructionsText"/>
              <w:rPr>
                <w:rStyle w:val="InstructionsTabelleberschrift"/>
                <w:rFonts w:ascii="Times New Roman" w:hAnsi="Times New Roman"/>
                <w:sz w:val="24"/>
                <w:u w:val="none"/>
              </w:rPr>
            </w:pPr>
            <w:r>
              <w:rPr>
                <w:rStyle w:val="InstructionsTabelleberschrift"/>
                <w:rFonts w:ascii="Times New Roman" w:hAnsi="Times New Roman"/>
                <w:sz w:val="24"/>
                <w:u w:val="none"/>
              </w:rPr>
              <w:t>Esposizioni ad altre cripto-attività espresse in percentuale del capitale di classe 1 dell'ente</w:t>
            </w:r>
          </w:p>
          <w:p w14:paraId="715123E0" w14:textId="1546219A" w:rsidR="001F0121" w:rsidRPr="00045412" w:rsidRDefault="001F0121" w:rsidP="0004541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Articolo 501 quinquies, paragrafo 3, del </w:t>
            </w:r>
            <w:r>
              <w:t>regolamento (UE) n. 575/2013.</w:t>
            </w:r>
          </w:p>
        </w:tc>
      </w:tr>
    </w:tbl>
    <w:p w14:paraId="0793ABC6" w14:textId="77777777" w:rsidR="001C7AB7" w:rsidRPr="002A677E" w:rsidRDefault="001C7AB7">
      <w:pPr>
        <w:spacing w:before="0" w:after="0"/>
        <w:jc w:val="left"/>
        <w:rPr>
          <w:rFonts w:ascii="Times New Roman" w:hAnsi="Times New Roman"/>
          <w:bCs/>
          <w:sz w:val="24"/>
          <w:lang w:eastAsia="de-DE"/>
        </w:rPr>
      </w:pPr>
    </w:p>
    <w:sectPr w:rsidR="001C7AB7" w:rsidRPr="002A677E" w:rsidSect="00570E7E">
      <w:headerReference w:type="even" r:id="rId8"/>
      <w:headerReference w:type="default" r:id="rId9"/>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7B7E6" w14:textId="77777777" w:rsidR="00570E7E" w:rsidRDefault="00570E7E" w:rsidP="00D946DB">
      <w:pPr>
        <w:spacing w:before="0" w:after="0"/>
      </w:pPr>
      <w:r>
        <w:separator/>
      </w:r>
    </w:p>
  </w:endnote>
  <w:endnote w:type="continuationSeparator" w:id="0">
    <w:p w14:paraId="2E781888" w14:textId="77777777" w:rsidR="00570E7E" w:rsidRDefault="00570E7E" w:rsidP="00D946DB">
      <w:pPr>
        <w:spacing w:before="0" w:after="0"/>
      </w:pPr>
      <w:r>
        <w:continuationSeparator/>
      </w:r>
    </w:p>
  </w:endnote>
  <w:endnote w:type="continuationNotice" w:id="1">
    <w:p w14:paraId="6EEE3799" w14:textId="77777777" w:rsidR="00570E7E" w:rsidRDefault="00570E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FA028" w14:textId="77777777" w:rsidR="00570E7E" w:rsidRDefault="00570E7E" w:rsidP="00D946DB">
      <w:pPr>
        <w:spacing w:before="0" w:after="0"/>
      </w:pPr>
      <w:r>
        <w:separator/>
      </w:r>
    </w:p>
  </w:footnote>
  <w:footnote w:type="continuationSeparator" w:id="0">
    <w:p w14:paraId="4CBBD974" w14:textId="77777777" w:rsidR="00570E7E" w:rsidRDefault="00570E7E" w:rsidP="00D946DB">
      <w:pPr>
        <w:spacing w:before="0" w:after="0"/>
      </w:pPr>
      <w:r>
        <w:continuationSeparator/>
      </w:r>
    </w:p>
  </w:footnote>
  <w:footnote w:type="continuationNotice" w:id="1">
    <w:p w14:paraId="47999F3E" w14:textId="77777777" w:rsidR="00570E7E" w:rsidRDefault="00570E7E">
      <w:pPr>
        <w:spacing w:before="0" w:after="0"/>
      </w:pPr>
    </w:p>
  </w:footnote>
  <w:footnote w:id="2">
    <w:p w14:paraId="5704B613" w14:textId="728820C8" w:rsidR="0076606B" w:rsidRPr="00D9757A" w:rsidRDefault="0076606B" w:rsidP="0076606B">
      <w:pPr>
        <w:pStyle w:val="FootnoteText"/>
        <w:rPr>
          <w:rFonts w:ascii="Times New Roman" w:eastAsia="Calibri"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sidRPr="00BA3A57">
        <w:rPr>
          <w:sz w:val="18"/>
          <w:szCs w:val="18"/>
        </w:rPr>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sidRPr="00BA3A57">
        <w:rPr>
          <w:color w:val="444444"/>
          <w:sz w:val="18"/>
          <w:szCs w:val="18"/>
        </w:rPr>
        <w:t>(</w:t>
      </w:r>
      <w:hyperlink r:id="rId1" w:history="1">
        <w:r w:rsidRPr="00BA3A57">
          <w:rPr>
            <w:rStyle w:val="Hyperlink"/>
            <w:color w:val="800080"/>
            <w:sz w:val="18"/>
            <w:szCs w:val="18"/>
          </w:rPr>
          <w:t>GU L 176 del 27.6.2013, pag. 1)</w:t>
        </w:r>
      </w:hyperlink>
      <w:r w:rsidRPr="00BA3A57">
        <w:rPr>
          <w:color w:val="800080"/>
          <w:sz w:val="18"/>
          <w:szCs w:val="18"/>
          <w:u w:val="single"/>
        </w:rPr>
        <w:t xml:space="preserve">; </w:t>
      </w:r>
      <w:hyperlink r:id="rId2" w:history="1">
        <w:r w:rsidRPr="00BA3A57">
          <w:rPr>
            <w:rStyle w:val="Hyperlink"/>
            <w:sz w:val="18"/>
            <w:szCs w:val="18"/>
          </w:rPr>
          <w:t>regolamento - UE - 2024/1623 - IT - EUR-Lex (europa.eu)</w:t>
        </w:r>
      </w:hyperlink>
      <w:r w:rsidRPr="00BA3A57">
        <w:rPr>
          <w:color w:val="444444"/>
          <w:sz w:val="18"/>
          <w:szCs w:val="18"/>
        </w:rPr>
        <w:t>)</w:t>
      </w:r>
      <w:r w:rsidRPr="00BA3A5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Per l'uso ordinario dell'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Per l'uso ordinario dell'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Per l'uso ordinario dell'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Per l'uso ordinario dell'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Per l'uso ordinario dell'ABE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360" w:hanging="360"/>
      </w:pPr>
      <w:rPr>
        <w:rFonts w:cs="Times New Roman"/>
      </w:rPr>
    </w:lvl>
    <w:lvl w:ilvl="1" w:tplc="5F56F3B6">
      <w:start w:val="1"/>
      <w:numFmt w:val="lowerLetter"/>
      <w:lvlText w:val="(%2)"/>
      <w:lvlJc w:val="left"/>
      <w:pPr>
        <w:ind w:left="447" w:hanging="360"/>
      </w:pPr>
      <w:rPr>
        <w:rFonts w:cs="Times New Roman" w:hint="default"/>
      </w:rPr>
    </w:lvl>
    <w:lvl w:ilvl="2" w:tplc="04070005">
      <w:start w:val="1"/>
      <w:numFmt w:val="lowerRoman"/>
      <w:lvlText w:val="%3."/>
      <w:lvlJc w:val="right"/>
      <w:pPr>
        <w:ind w:left="1167" w:hanging="180"/>
      </w:pPr>
      <w:rPr>
        <w:rFonts w:cs="Times New Roman"/>
      </w:rPr>
    </w:lvl>
    <w:lvl w:ilvl="3" w:tplc="04070001">
      <w:start w:val="1"/>
      <w:numFmt w:val="decimal"/>
      <w:lvlText w:val="%4."/>
      <w:lvlJc w:val="left"/>
      <w:pPr>
        <w:ind w:left="1887" w:hanging="360"/>
      </w:pPr>
      <w:rPr>
        <w:rFonts w:cs="Times New Roman"/>
      </w:rPr>
    </w:lvl>
    <w:lvl w:ilvl="4" w:tplc="04070003" w:tentative="1">
      <w:start w:val="1"/>
      <w:numFmt w:val="lowerLetter"/>
      <w:lvlText w:val="%5."/>
      <w:lvlJc w:val="left"/>
      <w:pPr>
        <w:ind w:left="2607" w:hanging="360"/>
      </w:pPr>
      <w:rPr>
        <w:rFonts w:cs="Times New Roman"/>
      </w:rPr>
    </w:lvl>
    <w:lvl w:ilvl="5" w:tplc="04070005" w:tentative="1">
      <w:start w:val="1"/>
      <w:numFmt w:val="lowerRoman"/>
      <w:lvlText w:val="%6."/>
      <w:lvlJc w:val="right"/>
      <w:pPr>
        <w:ind w:left="3327" w:hanging="180"/>
      </w:pPr>
      <w:rPr>
        <w:rFonts w:cs="Times New Roman"/>
      </w:rPr>
    </w:lvl>
    <w:lvl w:ilvl="6" w:tplc="04070001" w:tentative="1">
      <w:start w:val="1"/>
      <w:numFmt w:val="decimal"/>
      <w:lvlText w:val="%7."/>
      <w:lvlJc w:val="left"/>
      <w:pPr>
        <w:ind w:left="4047" w:hanging="360"/>
      </w:pPr>
      <w:rPr>
        <w:rFonts w:cs="Times New Roman"/>
      </w:rPr>
    </w:lvl>
    <w:lvl w:ilvl="7" w:tplc="04070003" w:tentative="1">
      <w:start w:val="1"/>
      <w:numFmt w:val="lowerLetter"/>
      <w:lvlText w:val="%8."/>
      <w:lvlJc w:val="left"/>
      <w:pPr>
        <w:ind w:left="4767" w:hanging="360"/>
      </w:pPr>
      <w:rPr>
        <w:rFonts w:cs="Times New Roman"/>
      </w:rPr>
    </w:lvl>
    <w:lvl w:ilvl="8" w:tplc="04070005" w:tentative="1">
      <w:start w:val="1"/>
      <w:numFmt w:val="lowerRoman"/>
      <w:lvlText w:val="%9."/>
      <w:lvlJc w:val="right"/>
      <w:pPr>
        <w:ind w:left="5487"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en-US" w:vendorID="64" w:dllVersion="0" w:nlCheck="1" w:checkStyle="0"/>
  <w:activeWritingStyle w:appName="MSWord" w:lang="en-GB" w:vendorID="64" w:dllVersion="0" w:nlCheck="1" w:checkStyle="0"/>
  <w:activeWritingStyle w:appName="MSWord" w:lang="fr-LU" w:vendorID="64" w:dllVersion="0" w:nlCheck="1" w:checkStyle="0"/>
  <w:activeWritingStyle w:appName="MSWord" w:lang="it-IT"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412"/>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3448"/>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1A0"/>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B67"/>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1FFC"/>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6FA"/>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ADA"/>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3E6F"/>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12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61D"/>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53A0"/>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479"/>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D8D"/>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4A9"/>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8D4"/>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6B5F"/>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3E3A"/>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600"/>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05F"/>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1BA"/>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547"/>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588D"/>
    <w:rsid w:val="005666F4"/>
    <w:rsid w:val="00566905"/>
    <w:rsid w:val="00566A45"/>
    <w:rsid w:val="00566DB5"/>
    <w:rsid w:val="00566E59"/>
    <w:rsid w:val="005704F9"/>
    <w:rsid w:val="00570E7E"/>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1ECE"/>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E68"/>
    <w:rsid w:val="005C401B"/>
    <w:rsid w:val="005C4B60"/>
    <w:rsid w:val="005C5136"/>
    <w:rsid w:val="005C517E"/>
    <w:rsid w:val="005C6242"/>
    <w:rsid w:val="005C6605"/>
    <w:rsid w:val="005C6CF7"/>
    <w:rsid w:val="005C6DEB"/>
    <w:rsid w:val="005C7542"/>
    <w:rsid w:val="005C7A65"/>
    <w:rsid w:val="005C7A91"/>
    <w:rsid w:val="005D017B"/>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4E6F"/>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C6D"/>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F94"/>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AF4"/>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85F67"/>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6AC"/>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858"/>
    <w:rsid w:val="00723A50"/>
    <w:rsid w:val="00723F2B"/>
    <w:rsid w:val="00724108"/>
    <w:rsid w:val="007241D3"/>
    <w:rsid w:val="00724589"/>
    <w:rsid w:val="007247ED"/>
    <w:rsid w:val="007248BD"/>
    <w:rsid w:val="007260DA"/>
    <w:rsid w:val="00726591"/>
    <w:rsid w:val="007272D4"/>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30"/>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06B"/>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0A3"/>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5FC"/>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54A"/>
    <w:rsid w:val="007D4746"/>
    <w:rsid w:val="007D4FF8"/>
    <w:rsid w:val="007D57E8"/>
    <w:rsid w:val="007D633B"/>
    <w:rsid w:val="007D63B3"/>
    <w:rsid w:val="007D7224"/>
    <w:rsid w:val="007D7D73"/>
    <w:rsid w:val="007E1466"/>
    <w:rsid w:val="007E16E5"/>
    <w:rsid w:val="007E18BB"/>
    <w:rsid w:val="007E1ED6"/>
    <w:rsid w:val="007E2B46"/>
    <w:rsid w:val="007E31D1"/>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485"/>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B90"/>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3A01"/>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33BC"/>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49A"/>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A2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0BE"/>
    <w:rsid w:val="00931528"/>
    <w:rsid w:val="00931726"/>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2EBC"/>
    <w:rsid w:val="00A03C89"/>
    <w:rsid w:val="00A03DC9"/>
    <w:rsid w:val="00A045D1"/>
    <w:rsid w:val="00A0483F"/>
    <w:rsid w:val="00A04CFA"/>
    <w:rsid w:val="00A0575F"/>
    <w:rsid w:val="00A05C8B"/>
    <w:rsid w:val="00A06927"/>
    <w:rsid w:val="00A07646"/>
    <w:rsid w:val="00A10C90"/>
    <w:rsid w:val="00A114D6"/>
    <w:rsid w:val="00A11C6E"/>
    <w:rsid w:val="00A11E9B"/>
    <w:rsid w:val="00A12B66"/>
    <w:rsid w:val="00A12EBD"/>
    <w:rsid w:val="00A12ECF"/>
    <w:rsid w:val="00A136CD"/>
    <w:rsid w:val="00A13C75"/>
    <w:rsid w:val="00A13D97"/>
    <w:rsid w:val="00A14679"/>
    <w:rsid w:val="00A15371"/>
    <w:rsid w:val="00A15696"/>
    <w:rsid w:val="00A1589A"/>
    <w:rsid w:val="00A159E2"/>
    <w:rsid w:val="00A15ACF"/>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3C47"/>
    <w:rsid w:val="00A94552"/>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385A"/>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178"/>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7A9"/>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3A57"/>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88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458"/>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507"/>
    <w:rsid w:val="00CE5512"/>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3B1B"/>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03C"/>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57C6"/>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9757A"/>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0D0"/>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03C"/>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1E83"/>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1F62"/>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875"/>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7F8"/>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0B67"/>
    <w:rsid w:val="00F30C57"/>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448"/>
    <w:rsid w:val="00FF15C6"/>
    <w:rsid w:val="00FF1617"/>
    <w:rsid w:val="00FF208F"/>
    <w:rsid w:val="00FF2658"/>
    <w:rsid w:val="00FF2818"/>
    <w:rsid w:val="00FF2BC3"/>
    <w:rsid w:val="00FF2D0E"/>
    <w:rsid w:val="00FF36A5"/>
    <w:rsid w:val="00FF3B3B"/>
    <w:rsid w:val="00FF49BE"/>
    <w:rsid w:val="00FF6630"/>
    <w:rsid w:val="00FF6BEE"/>
    <w:rsid w:val="00FF6E0E"/>
    <w:rsid w:val="00FF75CC"/>
    <w:rsid w:val="01C30CCF"/>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B4EEB3"/>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2B9F95"/>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A7184F1"/>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6B689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7A2490F"/>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BDB7AAB"/>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0304A7"/>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BA09A7"/>
    <w:rsid w:val="4EF61534"/>
    <w:rsid w:val="4F39CF42"/>
    <w:rsid w:val="4FD33F80"/>
    <w:rsid w:val="4FDE97E6"/>
    <w:rsid w:val="4FE9CA36"/>
    <w:rsid w:val="50820D43"/>
    <w:rsid w:val="5098F6C4"/>
    <w:rsid w:val="50DCBEC3"/>
    <w:rsid w:val="5157F2B5"/>
    <w:rsid w:val="517CBBA0"/>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AF3F54"/>
    <w:rsid w:val="5FCB8A86"/>
    <w:rsid w:val="5FF14103"/>
    <w:rsid w:val="600C2FB0"/>
    <w:rsid w:val="60290D1E"/>
    <w:rsid w:val="609C72D8"/>
    <w:rsid w:val="60C43AC3"/>
    <w:rsid w:val="6116CB0F"/>
    <w:rsid w:val="619BBE61"/>
    <w:rsid w:val="61EB4141"/>
    <w:rsid w:val="62624A16"/>
    <w:rsid w:val="627DBBFB"/>
    <w:rsid w:val="628F8154"/>
    <w:rsid w:val="62D561CC"/>
    <w:rsid w:val="634CD558"/>
    <w:rsid w:val="634F01E0"/>
    <w:rsid w:val="635C49C7"/>
    <w:rsid w:val="638DCD7E"/>
    <w:rsid w:val="63F3CB66"/>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A76FA2"/>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aliases w:val="Title 2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4408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91ECE"/>
    <w:pPr>
      <w:spacing w:before="0"/>
      <w:ind w:left="166"/>
      <w:jc w:val="left"/>
    </w:pPr>
    <w:rPr>
      <w:rFonts w:ascii="Times New Roman" w:hAnsi="Times New Roman"/>
      <w:bCs/>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91ECE"/>
    <w:rPr>
      <w:rFonts w:ascii="Times New Roman" w:eastAsia="Times New Roman" w:hAnsi="Times New Roman"/>
      <w:bCs/>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it-I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it-IT"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14111176">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B32CEDC9-37F4-4EBE-9E74-62C366A0E3F8}"/>
</file>

<file path=customXml/itemProps3.xml><?xml version="1.0" encoding="utf-8"?>
<ds:datastoreItem xmlns:ds="http://schemas.openxmlformats.org/officeDocument/2006/customXml" ds:itemID="{078AC1E8-63C7-491D-ABEC-42016237B9E7}"/>
</file>

<file path=customXml/itemProps4.xml><?xml version="1.0" encoding="utf-8"?>
<ds:datastoreItem xmlns:ds="http://schemas.openxmlformats.org/officeDocument/2006/customXml" ds:itemID="{53D6589F-DB62-4F67-BB7F-9A93ADB6B56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2140</Characters>
  <Application>Microsoft Office Word</Application>
  <DocSecurity>0</DocSecurity>
  <Lines>76</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2024-06-06T15:40:00Z</dcterms:created>
  <dcterms:modified xsi:type="dcterms:W3CDTF">2024-10-17T06:30:00Z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a7de5dab-f179-4ce4-a821-7fc8370dee9b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